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Jane Smith</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Detail-oriented Judicial Law Clerk with 4 years of experience in legal research and case management. Proven track record of assisting judges with complex legal issues and drafting opinions. Committed to upholding the rule of law and supporting judicial efficiency.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Judicial Law Clerk</w:t>
            </w:r>
            <w:r w:rsidRPr="003F4730">
              <w:rPr>
                <w:rFonts w:ascii="Arial" w:hAnsi="Arial" w:cstheme="majorHAnsi"/>
                <w:b/>
                <w:bCs/>
                <w:color w:val="383838"/>
                <w:sz w:val="19"/>
                <w:szCs w:val="18"/>
              </w:rPr>
              <w:tab/>
              <w:t xml:space="preserve">Jan 2020 – </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Cook County Circuit Court</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Assisted in the preparation of judicial opinions, resulting in timely case resolutions.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Conducted legal research and drafted memoranda on various legal issues for the judge's review.</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Legal Assistant</w:t>
            </w:r>
            <w:r w:rsidRPr="003F4730">
              <w:rPr>
                <w:rFonts w:ascii="Arial" w:hAnsi="Arial" w:cstheme="majorHAnsi"/>
                <w:b/>
                <w:bCs/>
                <w:color w:val="383838"/>
                <w:sz w:val="19"/>
                <w:szCs w:val="18"/>
              </w:rPr>
              <w:tab/>
              <w:t xml:space="preserve">May 2018 – Dec 2019</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Johnson  Partners Law Firm</w:t>
            </w:r>
            <w:r w:rsidRPr="006257AD">
              <w:rPr>
                <w:rFonts w:ascii="Arial" w:hAnsi="Arial"/>
                <w:spacing w:val="0"/>
                <w:sz w:val="19"/>
              </w:rPr>
              <w:tab/>
            </w:r>
            <w:r w:rsidRPr="006257AD">
              <w:rPr>
                <w:rFonts w:ascii="Arial" w:hAnsi="Arial"/>
                <w:color w:val="404040" w:themeColor="text1" w:themeTint="BF"/>
                <w:spacing w:val="0"/>
                <w:sz w:val="19"/>
              </w:rPr>
              <w:t xml:space="preserve">Chicago, IL</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case files and documentation for over 40 active cases, ensuring compliance with court deadlines.</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Drafted pleadings and motions that contributed to successful case outcomes.</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Juris Doctor</w:t>
            </w:r>
            <w:r w:rsidRPr="00CD29A1">
              <w:rPr>
                <w:rFonts w:ascii="Arial" w:hAnsi="Arial"/>
                <w:color w:val="383838"/>
                <w:sz w:val="19"/>
              </w:rPr>
              <w:tab/>
              <w:t xml:space="preserve">May 2018</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DePaul University College of Law</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Chicago, IL</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Illinois State Bar – 2018</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(987) 654-3210</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jane.smith@example.com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Chicago, IL 60601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Legal Research</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Drafting Opinions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Case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Court Procedures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Legal Writing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Analytical Thinking</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Client Communication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Time Management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Team Collaboration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Westlaw</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Jane Smith</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(987) 654-3210</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Chicago, IL - 60601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jane.smith@example.com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